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>№ 1</w:t>
      </w:r>
      <w:r w:rsidR="00CA7F52">
        <w:rPr>
          <w:rFonts w:ascii="Times New Roman" w:hAnsi="Times New Roman" w:cs="Times New Roman"/>
        </w:rPr>
        <w:t>7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770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поставку деаэраторов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(номер закупки – 1</w:t>
      </w:r>
      <w:r w:rsidR="00770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37"/>
        <w:gridCol w:w="165"/>
        <w:gridCol w:w="531"/>
        <w:gridCol w:w="3097"/>
        <w:gridCol w:w="1553"/>
        <w:gridCol w:w="2048"/>
      </w:tblGrid>
      <w:tr w:rsidR="007701BF" w:rsidRPr="00E6014E" w:rsidTr="007701BF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 закупки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деаэраторов</w:t>
            </w:r>
          </w:p>
        </w:tc>
      </w:tr>
      <w:tr w:rsidR="007701BF" w:rsidRPr="00E6014E" w:rsidTr="007701BF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«Крымтеплокоммунэнерго»</w:t>
            </w:r>
          </w:p>
        </w:tc>
      </w:tr>
      <w:tr w:rsidR="007701BF" w:rsidRPr="00E6014E" w:rsidTr="007701BF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Непосредственное описание товаров 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Деаэраторы</w:t>
            </w:r>
          </w:p>
        </w:tc>
      </w:tr>
      <w:tr w:rsidR="007701BF" w:rsidRPr="00E6014E" w:rsidTr="00CA7F52">
        <w:trPr>
          <w:trHeight w:val="28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3"/>
              <w:gridCol w:w="6232"/>
              <w:gridCol w:w="895"/>
              <w:gridCol w:w="705"/>
            </w:tblGrid>
            <w:tr w:rsidR="007701BF" w:rsidRPr="007701BF" w:rsidTr="007701BF">
              <w:trPr>
                <w:jc w:val="center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BF" w:rsidRPr="007701BF" w:rsidRDefault="007701BF" w:rsidP="007701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товара 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BF" w:rsidRPr="007701BF" w:rsidRDefault="007701BF" w:rsidP="007701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Описание товара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BF" w:rsidRPr="007701BF" w:rsidRDefault="007701BF" w:rsidP="007701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</w:t>
                  </w:r>
                  <w:proofErr w:type="spellEnd"/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01BF" w:rsidRPr="007701BF" w:rsidRDefault="007701BF" w:rsidP="007701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</w:tr>
            <w:tr w:rsidR="007701BF" w:rsidRPr="007701BF" w:rsidTr="007701BF">
              <w:trPr>
                <w:jc w:val="center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Деаэратор ДВ-50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Комплектация: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14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Деаэратор вакуумный (колонка)</w:t>
                  </w:r>
                  <w:r w:rsidR="00421458" w:rsidRPr="004214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14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 1шт.: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Производительность номинальная, т/ч – 50,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Диапазон производительности, % - от 30 до 120,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Диапазон производительности, т/ч - от 15 до 60,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Давление рабочее, абсолютное, Мпа - 0,0075-0,05,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Давление макс, при срабатывании защитного устройства, абсолютное, Мпа - 0,17,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 xml:space="preserve">Температура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</w:rPr>
                    <w:t>деаэрированной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</w:rPr>
                    <w:t xml:space="preserve"> воды, °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421458">
                    <w:rPr>
                      <w:rFonts w:ascii="Times New Roman" w:hAnsi="Times New Roman" w:cs="Times New Roman"/>
                    </w:rPr>
                    <w:t xml:space="preserve"> – от 40 до 80,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 xml:space="preserve">Нагрев воды при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</w:rPr>
                    <w:t>номин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</w:rPr>
                    <w:t>произв-ти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</w:rPr>
                    <w:t xml:space="preserve"> min/max, °С - 15/25,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Температура теплоносителя, °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421458">
                    <w:rPr>
                      <w:rFonts w:ascii="Times New Roman" w:hAnsi="Times New Roman" w:cs="Times New Roman"/>
                    </w:rPr>
                    <w:t xml:space="preserve"> – от 70 до 180.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1458">
                    <w:rPr>
                      <w:rFonts w:ascii="Times New Roman" w:hAnsi="Times New Roman" w:cs="Times New Roman"/>
                      <w:b/>
                    </w:rPr>
                    <w:t>Охладитель: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Площадь поверхности теплообмена, м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proofErr w:type="gramEnd"/>
                  <w:r w:rsidRPr="00421458">
                    <w:rPr>
                      <w:rFonts w:ascii="Times New Roman" w:hAnsi="Times New Roman" w:cs="Times New Roman"/>
                    </w:rPr>
                    <w:t xml:space="preserve"> – 8,</w:t>
                  </w:r>
                </w:p>
                <w:p w:rsidR="007701BF" w:rsidRPr="00421458" w:rsidRDefault="007701BF" w:rsidP="004214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21458">
                    <w:rPr>
                      <w:rFonts w:ascii="Times New Roman" w:hAnsi="Times New Roman" w:cs="Times New Roman"/>
                      <w:b/>
                    </w:rPr>
                    <w:t>Инжектор ЭВ-60 – 1шт.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proofErr w:type="gramEnd"/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Давлен</w:t>
                  </w:r>
                  <w:r w:rsidR="00421458" w:rsidRPr="00421458">
                    <w:rPr>
                      <w:rFonts w:ascii="Times New Roman" w:hAnsi="Times New Roman" w:cs="Times New Roman"/>
                    </w:rPr>
                    <w:t xml:space="preserve">ие водяного столба </w:t>
                  </w:r>
                  <w:proofErr w:type="spellStart"/>
                  <w:r w:rsidR="00421458" w:rsidRPr="00421458">
                    <w:rPr>
                      <w:rFonts w:ascii="Times New Roman" w:hAnsi="Times New Roman" w:cs="Times New Roman"/>
                    </w:rPr>
                    <w:t>Рвс</w:t>
                  </w:r>
                  <w:proofErr w:type="spellEnd"/>
                  <w:r w:rsidR="00421458" w:rsidRPr="00421458">
                    <w:rPr>
                      <w:rFonts w:ascii="Times New Roman" w:hAnsi="Times New Roman" w:cs="Times New Roman"/>
                    </w:rPr>
                    <w:t>=0,02 МПа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701BF" w:rsidRPr="007701BF" w:rsidTr="007701BF">
              <w:trPr>
                <w:jc w:val="center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Деаэратор ДА 50/25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Комплектация: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Деаэратор ДА 50/25 - 1шт.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 xml:space="preserve">Производительность </w:t>
                  </w:r>
                  <w:proofErr w:type="spellStart"/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номин</w:t>
                  </w:r>
                  <w:proofErr w:type="spellEnd"/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 xml:space="preserve">., т/ч – </w:t>
                  </w:r>
                  <w:r w:rsidRPr="00421458">
                    <w:rPr>
                      <w:rFonts w:eastAsiaTheme="minorHAnsi"/>
                      <w:sz w:val="22"/>
                      <w:szCs w:val="22"/>
                    </w:rPr>
                    <w:t>25,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Диапазон производительности, % - от 30 до 120,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Диапазон производительности, т/ч – от 15 до 60,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Давление рабочее, избыточное, Мпа – 0,02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Давление макс, при срабатывании защитного устройства, избыточное, Мпа – 0,07,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 xml:space="preserve">Температура </w:t>
                  </w:r>
                  <w:proofErr w:type="spellStart"/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>деаэрированной</w:t>
                  </w:r>
                  <w:proofErr w:type="spellEnd"/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 xml:space="preserve"> Воды, </w:t>
                  </w:r>
                  <w:r w:rsidRPr="00421458">
                    <w:rPr>
                      <w:rFonts w:eastAsiaTheme="minorHAnsi"/>
                      <w:sz w:val="22"/>
                      <w:szCs w:val="22"/>
                    </w:rPr>
                    <w:t>°С – 104,25,</w:t>
                  </w:r>
                </w:p>
                <w:p w:rsidR="007701BF" w:rsidRPr="00421458" w:rsidRDefault="007701BF" w:rsidP="007701BF">
                  <w:pPr>
                    <w:pStyle w:val="20"/>
                    <w:shd w:val="clear" w:color="auto" w:fill="auto"/>
                    <w:rPr>
                      <w:rFonts w:eastAsiaTheme="minorHAnsi"/>
                      <w:sz w:val="22"/>
                      <w:szCs w:val="22"/>
                    </w:rPr>
                  </w:pPr>
                  <w:r w:rsidRPr="00421458">
                    <w:rPr>
                      <w:rFonts w:eastAsiaTheme="minorHAnsi"/>
                      <w:bCs/>
                      <w:sz w:val="22"/>
                      <w:szCs w:val="22"/>
                    </w:rPr>
                    <w:t xml:space="preserve">Средний нагрев воды в деаэраторе, </w:t>
                  </w:r>
                  <w:r w:rsidRPr="00421458">
                    <w:rPr>
                      <w:rFonts w:eastAsiaTheme="minorHAnsi"/>
                      <w:sz w:val="22"/>
                      <w:szCs w:val="22"/>
                    </w:rPr>
                    <w:t>°</w:t>
                  </w:r>
                  <w:proofErr w:type="gramStart"/>
                  <w:r w:rsidRPr="00421458">
                    <w:rPr>
                      <w:rFonts w:eastAsiaTheme="minorHAnsi"/>
                      <w:sz w:val="22"/>
                      <w:szCs w:val="22"/>
                    </w:rPr>
                    <w:t>С</w:t>
                  </w:r>
                  <w:proofErr w:type="gramEnd"/>
                  <w:r w:rsidRPr="00421458">
                    <w:rPr>
                      <w:rFonts w:eastAsiaTheme="minorHAnsi"/>
                      <w:sz w:val="22"/>
                      <w:szCs w:val="22"/>
                    </w:rPr>
                    <w:t xml:space="preserve"> – от 10 до 50,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Cs/>
                    </w:rPr>
                    <w:t xml:space="preserve">Удельный расход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  <w:bCs/>
                    </w:rPr>
                    <w:t>выпара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  <w:bCs/>
                    </w:rPr>
                    <w:t>, кг/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  <w:bCs/>
                    </w:rPr>
                    <w:t>т.д.В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  <w:bCs/>
                    </w:rPr>
                    <w:t>. – от 1,5 до 2.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/>
                      <w:bCs/>
                    </w:rPr>
                    <w:t>Деаэраторный бак БДА-25  -  1 шт.: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Cs/>
                    </w:rPr>
                    <w:t>Полезная емкость бака, м</w:t>
                  </w:r>
                  <w:r w:rsidRPr="00421458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  <w:r w:rsidRPr="00421458">
                    <w:rPr>
                      <w:rFonts w:ascii="Times New Roman" w:hAnsi="Times New Roman" w:cs="Times New Roman"/>
                      <w:bCs/>
                    </w:rPr>
                    <w:t xml:space="preserve"> – 25,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Cs/>
                    </w:rPr>
                    <w:t>Диаметр бака – от 2000мм до 2500мм.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Cs/>
                    </w:rPr>
                    <w:t xml:space="preserve">Днище бака –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  <w:bCs/>
                    </w:rPr>
                    <w:t>элиптическое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/>
                      <w:bCs/>
                    </w:rPr>
                    <w:t xml:space="preserve">Охладитель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  <w:b/>
                      <w:bCs/>
                    </w:rPr>
                    <w:t>выпара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  <w:b/>
                      <w:bCs/>
                    </w:rPr>
                    <w:t xml:space="preserve"> атмосферный -1 шт.: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21458">
                    <w:rPr>
                      <w:rFonts w:ascii="Times New Roman" w:hAnsi="Times New Roman" w:cs="Times New Roman"/>
                      <w:bCs/>
                    </w:rPr>
                    <w:t xml:space="preserve">Площадь поверхности теплообмена охладителя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  <w:bCs/>
                    </w:rPr>
                    <w:t>выпара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  <w:bCs/>
                    </w:rPr>
                    <w:t>, м</w:t>
                  </w:r>
                  <w:proofErr w:type="gramStart"/>
                  <w:r w:rsidRPr="00421458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2</w:t>
                  </w:r>
                  <w:proofErr w:type="gramEnd"/>
                  <w:r w:rsidRPr="00421458">
                    <w:rPr>
                      <w:rFonts w:ascii="Times New Roman" w:hAnsi="Times New Roman" w:cs="Times New Roman"/>
                      <w:bCs/>
                    </w:rPr>
                    <w:t xml:space="preserve"> – 2,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Колонка (вертикальная) ДА-50 – 1 шт.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Гидрозатвор (предохранительное устройство) - ДА-50 – 1 шт.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Указатель уровня (водоуказательные стекла) – 2 шт.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Стойка (ложемент) – 2</w:t>
                  </w:r>
                  <w:r w:rsidR="0042145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1458">
                    <w:rPr>
                      <w:rFonts w:ascii="Times New Roman" w:hAnsi="Times New Roman" w:cs="Times New Roman"/>
                    </w:rPr>
                    <w:t>шт.</w:t>
                  </w:r>
                </w:p>
                <w:p w:rsidR="007701BF" w:rsidRPr="00421458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>Длина деаэратора -  от 7500мм до 8050мм.</w:t>
                  </w:r>
                </w:p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1458">
                    <w:rPr>
                      <w:rFonts w:ascii="Times New Roman" w:hAnsi="Times New Roman" w:cs="Times New Roman"/>
                    </w:rPr>
                    <w:t xml:space="preserve">Двухступенчатая система дегазации – в колонке. Третья </w:t>
                  </w:r>
                  <w:r w:rsidRPr="00421458">
                    <w:rPr>
                      <w:rFonts w:ascii="Times New Roman" w:hAnsi="Times New Roman" w:cs="Times New Roman"/>
                    </w:rPr>
                    <w:lastRenderedPageBreak/>
                    <w:t xml:space="preserve">дополнительная степень – в виде затопленного </w:t>
                  </w:r>
                  <w:proofErr w:type="spellStart"/>
                  <w:r w:rsidRPr="00421458">
                    <w:rPr>
                      <w:rFonts w:ascii="Times New Roman" w:hAnsi="Times New Roman" w:cs="Times New Roman"/>
                    </w:rPr>
                    <w:t>барботажного</w:t>
                  </w:r>
                  <w:proofErr w:type="spellEnd"/>
                  <w:r w:rsidRPr="00421458">
                    <w:rPr>
                      <w:rFonts w:ascii="Times New Roman" w:hAnsi="Times New Roman" w:cs="Times New Roman"/>
                    </w:rPr>
                    <w:t xml:space="preserve"> устройства в баке.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01BF" w:rsidRPr="007701BF" w:rsidRDefault="007701BF" w:rsidP="007701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701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701BF" w:rsidRPr="00830640" w:rsidRDefault="007701BF" w:rsidP="009C336D">
            <w:pPr>
              <w:tabs>
                <w:tab w:val="left" w:pos="366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CA7F52">
            <w:pPr>
              <w:tabs>
                <w:tab w:val="left" w:pos="360"/>
              </w:tabs>
              <w:spacing w:after="0"/>
              <w:ind w:left="53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Поставляемый товар должен быть изготовлен в заводских условиях, быть новым (товаром, который не был в употреблении, в ремонте, в том </w:t>
            </w:r>
            <w:proofErr w:type="gramStart"/>
            <w:r w:rsidRPr="00E6014E">
              <w:rPr>
                <w:rFonts w:ascii="Times New Roman" w:hAnsi="Times New Roman" w:cs="Times New Roman"/>
              </w:rPr>
              <w:t>числе</w:t>
            </w:r>
            <w:proofErr w:type="gramEnd"/>
            <w:r w:rsidRPr="00E6014E">
              <w:rPr>
                <w:rFonts w:ascii="Times New Roman" w:hAnsi="Times New Roman" w:cs="Times New Roman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прошедшим предпродажную подготовку.</w:t>
            </w:r>
            <w:r>
              <w:rPr>
                <w:rFonts w:ascii="Times New Roman" w:hAnsi="Times New Roman" w:cs="Times New Roman"/>
              </w:rPr>
              <w:t xml:space="preserve"> Год изготовления – не ранее 2018г.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014E">
              <w:rPr>
                <w:rFonts w:ascii="Times New Roman" w:hAnsi="Times New Roman" w:cs="Times New Roman"/>
              </w:rPr>
              <w:t>Требования к размерам, упаковке, отгрузке товаров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9C336D">
            <w:pPr>
              <w:spacing w:after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Упаковка должна быть без нарушения целостности, иметь необходимую информацию о методах транспортировки, </w:t>
            </w:r>
            <w:proofErr w:type="spellStart"/>
            <w:r w:rsidRPr="00E6014E">
              <w:rPr>
                <w:rFonts w:ascii="Times New Roman" w:hAnsi="Times New Roman" w:cs="Times New Roman"/>
              </w:rPr>
              <w:t>строповки</w:t>
            </w:r>
            <w:proofErr w:type="spellEnd"/>
            <w:r w:rsidRPr="00E6014E">
              <w:rPr>
                <w:rFonts w:ascii="Times New Roman" w:hAnsi="Times New Roman" w:cs="Times New Roman"/>
              </w:rPr>
              <w:t>, и т.д. Упаковка должна обеспечивать защиту товара от атмосферных осадков и механических воздействий в период транспортировки.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Требования к обслуживанию товара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9C336D">
            <w:pPr>
              <w:tabs>
                <w:tab w:val="left" w:pos="360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Не предъявляется.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9C336D">
            <w:pPr>
              <w:tabs>
                <w:tab w:val="left" w:pos="360"/>
              </w:tabs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Гарантийный срок на поставляемый товар предоставляется в соответствии с условиями прои</w:t>
            </w:r>
            <w:r>
              <w:rPr>
                <w:rFonts w:ascii="Times New Roman" w:hAnsi="Times New Roman" w:cs="Times New Roman"/>
              </w:rPr>
              <w:t>зводителя товара, но не менее 24</w:t>
            </w:r>
            <w:r w:rsidRPr="00E6014E">
              <w:rPr>
                <w:rFonts w:ascii="Times New Roman" w:hAnsi="Times New Roman" w:cs="Times New Roman"/>
              </w:rPr>
              <w:t xml:space="preserve"> месяцев с момента поставки.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Требования к проведению гос. поверки средств измерений (в </w:t>
            </w:r>
            <w:proofErr w:type="spellStart"/>
            <w:r w:rsidRPr="00E6014E">
              <w:rPr>
                <w:rFonts w:ascii="Times New Roman" w:hAnsi="Times New Roman" w:cs="Times New Roman"/>
              </w:rPr>
              <w:t>т.ч</w:t>
            </w:r>
            <w:proofErr w:type="spellEnd"/>
            <w:r w:rsidRPr="00E6014E">
              <w:rPr>
                <w:rFonts w:ascii="Times New Roman" w:hAnsi="Times New Roman" w:cs="Times New Roman"/>
              </w:rPr>
              <w:t>. входящих в состав товара)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9C336D">
            <w:pPr>
              <w:tabs>
                <w:tab w:val="left" w:pos="360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Не предъявляется.</w:t>
            </w:r>
          </w:p>
        </w:tc>
      </w:tr>
      <w:tr w:rsidR="007701BF" w:rsidRPr="00E6014E" w:rsidTr="007701BF">
        <w:trPr>
          <w:trHeight w:val="273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Требования к качеству, безопасности (в </w:t>
            </w:r>
            <w:proofErr w:type="spellStart"/>
            <w:r w:rsidRPr="00E6014E">
              <w:rPr>
                <w:rFonts w:ascii="Times New Roman" w:hAnsi="Times New Roman" w:cs="Times New Roman"/>
              </w:rPr>
              <w:t>т.ч</w:t>
            </w:r>
            <w:proofErr w:type="spellEnd"/>
            <w:r w:rsidRPr="00E6014E">
              <w:rPr>
                <w:rFonts w:ascii="Times New Roman" w:hAnsi="Times New Roman" w:cs="Times New Roman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E6014E" w:rsidRDefault="007701BF" w:rsidP="009C336D">
            <w:pPr>
              <w:spacing w:after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Товар должен соответствовать требованиям: Технического регламента Таможенного союза </w:t>
            </w:r>
            <w:proofErr w:type="gramStart"/>
            <w:r w:rsidRPr="00E6014E"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  010/</w:t>
            </w:r>
            <w:r w:rsidRPr="00E6014E">
              <w:rPr>
                <w:rFonts w:ascii="Times New Roman" w:hAnsi="Times New Roman" w:cs="Times New Roman"/>
              </w:rPr>
              <w:t>2011 "О безопасности машин и оборудования", утвержденного Решением Комис</w:t>
            </w:r>
            <w:r>
              <w:rPr>
                <w:rFonts w:ascii="Times New Roman" w:hAnsi="Times New Roman" w:cs="Times New Roman"/>
              </w:rPr>
              <w:t>с</w:t>
            </w:r>
            <w:r w:rsidRPr="00E6014E">
              <w:rPr>
                <w:rFonts w:ascii="Times New Roman" w:hAnsi="Times New Roman" w:cs="Times New Roman"/>
              </w:rPr>
              <w:t>ии Таможенного союза от. 18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E6014E">
              <w:rPr>
                <w:rFonts w:ascii="Times New Roman" w:hAnsi="Times New Roman" w:cs="Times New Roman"/>
              </w:rPr>
              <w:t xml:space="preserve">2011 г. № 823  и/или Техническому регламенту </w:t>
            </w:r>
            <w:r>
              <w:rPr>
                <w:rFonts w:ascii="Times New Roman" w:hAnsi="Times New Roman" w:cs="Times New Roman"/>
              </w:rPr>
              <w:t xml:space="preserve">Таможенного союза ТР ТС 016/2011 </w:t>
            </w:r>
            <w:r w:rsidRPr="00E6014E">
              <w:rPr>
                <w:rFonts w:ascii="Times New Roman" w:hAnsi="Times New Roman" w:cs="Times New Roman"/>
              </w:rPr>
              <w:t xml:space="preserve">"О безопасности </w:t>
            </w:r>
            <w:r>
              <w:rPr>
                <w:rFonts w:ascii="Times New Roman" w:hAnsi="Times New Roman" w:cs="Times New Roman"/>
              </w:rPr>
              <w:t>аппаратов, работающих на газообразном топливе</w:t>
            </w:r>
            <w:r w:rsidRPr="00E6014E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утвержденному решением Комиссии Таможенного союза от 9 декабря 2011г. №875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Default="007701BF" w:rsidP="009C336D">
            <w:pPr>
              <w:tabs>
                <w:tab w:val="left" w:pos="360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Товар должен поставляться в полной комплектации предусмотренной заводом-изготовителем, </w:t>
            </w:r>
          </w:p>
          <w:p w:rsidR="007701BF" w:rsidRPr="00E6014E" w:rsidRDefault="007701BF" w:rsidP="009C336D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сопровождаться документацией, </w:t>
            </w:r>
            <w:proofErr w:type="gramStart"/>
            <w:r w:rsidRPr="00E6014E">
              <w:rPr>
                <w:rFonts w:ascii="Times New Roman" w:hAnsi="Times New Roman" w:cs="Times New Roman"/>
              </w:rPr>
              <w:t>предусмотренными</w:t>
            </w:r>
            <w:proofErr w:type="gramEnd"/>
            <w:r w:rsidRPr="00E6014E">
              <w:rPr>
                <w:rFonts w:ascii="Times New Roman" w:hAnsi="Times New Roman" w:cs="Times New Roman"/>
              </w:rPr>
              <w:t xml:space="preserve"> заводом-изготовителем и подтверждающей качество (сертификат, паспорт), технической документацией (инструкция по эксплуатации, монтажный чертеж, спецификация и др.)</w:t>
            </w:r>
            <w:r>
              <w:rPr>
                <w:rFonts w:ascii="Times New Roman" w:hAnsi="Times New Roman" w:cs="Times New Roman"/>
              </w:rPr>
              <w:t>.</w:t>
            </w:r>
            <w:r w:rsidRPr="00E6014E">
              <w:rPr>
                <w:rFonts w:ascii="Times New Roman" w:hAnsi="Times New Roman" w:cs="Times New Roman"/>
              </w:rPr>
              <w:t xml:space="preserve"> </w:t>
            </w:r>
          </w:p>
          <w:p w:rsidR="007701BF" w:rsidRPr="00E6014E" w:rsidRDefault="007701BF" w:rsidP="009C336D">
            <w:pPr>
              <w:tabs>
                <w:tab w:val="left" w:pos="360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Поставляемый товар должен сопровож</w:t>
            </w:r>
            <w:r>
              <w:rPr>
                <w:rFonts w:ascii="Times New Roman" w:hAnsi="Times New Roman" w:cs="Times New Roman"/>
              </w:rPr>
              <w:t xml:space="preserve">даться документацией: товарная </w:t>
            </w:r>
            <w:r w:rsidRPr="00E6014E">
              <w:rPr>
                <w:rFonts w:ascii="Times New Roman" w:hAnsi="Times New Roman" w:cs="Times New Roman"/>
              </w:rPr>
              <w:t>накладная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4E">
              <w:rPr>
                <w:rFonts w:ascii="Times New Roman" w:hAnsi="Times New Roman" w:cs="Times New Roman"/>
              </w:rPr>
              <w:t>товарно-транспортная</w:t>
            </w:r>
            <w:r>
              <w:rPr>
                <w:rFonts w:ascii="Times New Roman" w:hAnsi="Times New Roman" w:cs="Times New Roman"/>
              </w:rPr>
              <w:t>,</w:t>
            </w:r>
            <w:r w:rsidRPr="00E6014E">
              <w:rPr>
                <w:rFonts w:ascii="Times New Roman" w:hAnsi="Times New Roman" w:cs="Times New Roman"/>
              </w:rPr>
              <w:t xml:space="preserve"> акт приема-передачи товара, счет-фактура, счет на оплату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заполненными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учетом реквизитов филиала получателя</w:t>
            </w:r>
            <w:r w:rsidRPr="00E6014E">
              <w:rPr>
                <w:rFonts w:ascii="Times New Roman" w:hAnsi="Times New Roman" w:cs="Times New Roman"/>
              </w:rPr>
              <w:t>.</w:t>
            </w:r>
          </w:p>
        </w:tc>
      </w:tr>
      <w:tr w:rsidR="007701BF" w:rsidRPr="00E6014E" w:rsidTr="007701BF">
        <w:trPr>
          <w:trHeight w:val="175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 Требования по количеству, периодичности, сроку и месту поставок </w:t>
            </w:r>
          </w:p>
          <w:p w:rsidR="007701BF" w:rsidRPr="00E6014E" w:rsidRDefault="007701BF" w:rsidP="009C336D">
            <w:pPr>
              <w:tabs>
                <w:tab w:val="left" w:pos="360"/>
                <w:tab w:val="num" w:pos="42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 xml:space="preserve">Поставка Товара осуществляется силами и средствами Поставщика </w:t>
            </w:r>
          </w:p>
        </w:tc>
      </w:tr>
      <w:tr w:rsidR="007701BF" w:rsidRPr="00E6014E" w:rsidTr="007701BF">
        <w:trPr>
          <w:trHeight w:val="17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9C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606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606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606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9C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6061">
              <w:rPr>
                <w:rFonts w:ascii="Times New Roman" w:hAnsi="Times New Roman" w:cs="Times New Roman"/>
                <w:b/>
              </w:rPr>
              <w:t>Наименование товар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9C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6061">
              <w:rPr>
                <w:rFonts w:ascii="Times New Roman" w:hAnsi="Times New Roman" w:cs="Times New Roman"/>
                <w:b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</w:rPr>
              <w:t>от 7 до 30</w:t>
            </w:r>
            <w:r w:rsidRPr="006C60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календарных </w:t>
            </w:r>
            <w:r w:rsidRPr="006C6061">
              <w:rPr>
                <w:rFonts w:ascii="Times New Roman" w:hAnsi="Times New Roman" w:cs="Times New Roman"/>
                <w:b/>
              </w:rPr>
              <w:t>дне</w:t>
            </w:r>
            <w:r>
              <w:rPr>
                <w:rFonts w:ascii="Times New Roman" w:hAnsi="Times New Roman" w:cs="Times New Roman"/>
                <w:b/>
              </w:rPr>
              <w:t>й с момента заключения договора.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9C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6061">
              <w:rPr>
                <w:rFonts w:ascii="Times New Roman" w:hAnsi="Times New Roman" w:cs="Times New Roman"/>
                <w:b/>
              </w:rPr>
              <w:t>Адрес поставки</w:t>
            </w:r>
          </w:p>
        </w:tc>
      </w:tr>
      <w:tr w:rsidR="007701BF" w:rsidRPr="00E6014E" w:rsidTr="00CA7F52">
        <w:trPr>
          <w:trHeight w:val="56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CA7F52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BB3B3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Деаэратор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C6061">
              <w:rPr>
                <w:rFonts w:ascii="Times New Roman" w:hAnsi="Times New Roman" w:cs="Times New Roman"/>
              </w:rPr>
              <w:t>Д</w:t>
            </w:r>
            <w:proofErr w:type="gramEnd"/>
            <w:r w:rsidRPr="006C6061">
              <w:rPr>
                <w:rFonts w:ascii="Times New Roman" w:hAnsi="Times New Roman" w:cs="Times New Roman"/>
              </w:rPr>
              <w:t>а 50/25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  <w:r w:rsidRPr="006C6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г. Керчь ул</w:t>
            </w:r>
            <w:proofErr w:type="gramStart"/>
            <w:r w:rsidRPr="006C6061">
              <w:rPr>
                <w:rFonts w:ascii="Times New Roman" w:hAnsi="Times New Roman" w:cs="Times New Roman"/>
              </w:rPr>
              <w:t>.С</w:t>
            </w:r>
            <w:proofErr w:type="gramEnd"/>
            <w:r w:rsidRPr="006C6061">
              <w:rPr>
                <w:rFonts w:ascii="Times New Roman" w:hAnsi="Times New Roman" w:cs="Times New Roman"/>
              </w:rPr>
              <w:t>вердлова,57</w:t>
            </w:r>
          </w:p>
        </w:tc>
      </w:tr>
      <w:tr w:rsidR="007701BF" w:rsidRPr="00E6014E" w:rsidTr="00CA7F52">
        <w:trPr>
          <w:trHeight w:val="446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CA7F52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BB3B3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Деаэратор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C6061">
              <w:rPr>
                <w:rFonts w:ascii="Times New Roman" w:hAnsi="Times New Roman" w:cs="Times New Roman"/>
              </w:rPr>
              <w:t>Д</w:t>
            </w:r>
            <w:proofErr w:type="gramEnd"/>
            <w:r w:rsidRPr="006C6061">
              <w:rPr>
                <w:rFonts w:ascii="Times New Roman" w:hAnsi="Times New Roman" w:cs="Times New Roman"/>
              </w:rPr>
              <w:t>а 50/25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  <w:r w:rsidRPr="006C6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г. Симферополь ул. Глинки 66</w:t>
            </w:r>
          </w:p>
        </w:tc>
      </w:tr>
      <w:tr w:rsidR="007701BF" w:rsidRPr="00E6014E" w:rsidTr="007701BF">
        <w:trPr>
          <w:trHeight w:val="17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CA7F52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BB3B3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Деаэратор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061">
              <w:rPr>
                <w:rFonts w:ascii="Times New Roman" w:hAnsi="Times New Roman" w:cs="Times New Roman"/>
              </w:rPr>
              <w:t>ДВ-50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  <w:r w:rsidRPr="006C6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г. Симферополь пер. Северный 17</w:t>
            </w:r>
          </w:p>
        </w:tc>
      </w:tr>
      <w:tr w:rsidR="007701BF" w:rsidRPr="00E6014E" w:rsidTr="007701BF">
        <w:trPr>
          <w:trHeight w:val="17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CA7F52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BB3B3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Деаэратор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061">
              <w:rPr>
                <w:rFonts w:ascii="Times New Roman" w:hAnsi="Times New Roman" w:cs="Times New Roman"/>
              </w:rPr>
              <w:t>ДВ-50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  <w:r w:rsidRPr="006C6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BF" w:rsidRPr="006C6061" w:rsidRDefault="007701BF" w:rsidP="00CA7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061">
              <w:rPr>
                <w:rFonts w:ascii="Times New Roman" w:hAnsi="Times New Roman" w:cs="Times New Roman"/>
              </w:rPr>
              <w:t>г. Алушта            ул</w:t>
            </w:r>
            <w:proofErr w:type="gramStart"/>
            <w:r w:rsidRPr="006C6061">
              <w:rPr>
                <w:rFonts w:ascii="Times New Roman" w:hAnsi="Times New Roman" w:cs="Times New Roman"/>
              </w:rPr>
              <w:t>.Л</w:t>
            </w:r>
            <w:proofErr w:type="gramEnd"/>
            <w:r w:rsidRPr="006C6061">
              <w:rPr>
                <w:rFonts w:ascii="Times New Roman" w:hAnsi="Times New Roman" w:cs="Times New Roman"/>
              </w:rPr>
              <w:t>есная1</w:t>
            </w:r>
          </w:p>
        </w:tc>
      </w:tr>
      <w:tr w:rsidR="007701BF" w:rsidRPr="00E6014E" w:rsidTr="007701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1BF" w:rsidRPr="00E6014E" w:rsidRDefault="007701BF" w:rsidP="007701BF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Порядок сдачи и приемки товара</w:t>
            </w:r>
          </w:p>
          <w:p w:rsidR="007701BF" w:rsidRPr="00E6014E" w:rsidRDefault="007701BF" w:rsidP="009C336D">
            <w:pPr>
              <w:tabs>
                <w:tab w:val="left" w:pos="360"/>
                <w:tab w:val="num" w:pos="42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BF" w:rsidRPr="00E6014E" w:rsidRDefault="007701BF" w:rsidP="009C336D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 w:rsidRPr="00E6014E">
              <w:rPr>
                <w:rFonts w:ascii="Times New Roman" w:hAnsi="Times New Roman" w:cs="Times New Roman"/>
              </w:rPr>
              <w:t>Приемка Товара осуществляется в месте поставки Товара. Приемка осуществляется уполномоченным представителем Заказчика. Представители Поставщика вправе присутствовать при проведении приемки. Заказчик обязан создать приемочную комиссию для проверки соответствия Товара требо</w:t>
            </w:r>
            <w:r>
              <w:rPr>
                <w:rFonts w:ascii="Times New Roman" w:hAnsi="Times New Roman" w:cs="Times New Roman"/>
              </w:rPr>
              <w:t>ваниям, установленным Договора</w:t>
            </w:r>
            <w:r w:rsidRPr="00E6014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6014E">
              <w:rPr>
                <w:rFonts w:ascii="Times New Roman" w:hAnsi="Times New Roman" w:cs="Times New Roman"/>
              </w:rPr>
              <w:t xml:space="preserve">Приемка Товара осуществляется путем передачи Поставщиком Товара и сертификатов (декларации о соответствии), обязательных для данного вида Товара, и иных документов, подтверждающих качество Товара, оформленных в соответствии с законодательством Российской Федерации, подписанной </w:t>
            </w:r>
            <w:r>
              <w:rPr>
                <w:rFonts w:ascii="Times New Roman" w:hAnsi="Times New Roman" w:cs="Times New Roman"/>
              </w:rPr>
              <w:t xml:space="preserve">со стороны Поставщика товарной </w:t>
            </w:r>
            <w:r w:rsidRPr="00E6014E">
              <w:rPr>
                <w:rFonts w:ascii="Times New Roman" w:hAnsi="Times New Roman" w:cs="Times New Roman"/>
              </w:rPr>
              <w:t xml:space="preserve"> накладной</w:t>
            </w:r>
            <w:r>
              <w:rPr>
                <w:rFonts w:ascii="Times New Roman" w:hAnsi="Times New Roman" w:cs="Times New Roman"/>
              </w:rPr>
              <w:t>,</w:t>
            </w:r>
            <w:r w:rsidRPr="00E6014E">
              <w:rPr>
                <w:rFonts w:ascii="Times New Roman" w:hAnsi="Times New Roman" w:cs="Times New Roman"/>
              </w:rPr>
              <w:t xml:space="preserve"> товарно-транспортной и (или) акта приема-передачи товаров, проверки целостности упаковки, вскрытии упаковки (в случае, если Товар поставляется в упаковке), осмотра Товара на предмет сколов, трещин</w:t>
            </w:r>
            <w:proofErr w:type="gramEnd"/>
            <w:r w:rsidRPr="00E6014E">
              <w:rPr>
                <w:rFonts w:ascii="Times New Roman" w:hAnsi="Times New Roman" w:cs="Times New Roman"/>
              </w:rPr>
              <w:t>, внешних повреждений. Приемка Товара производится в срок, не превышающий 3 (трех) рабочих дней с момента передачи Товара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E59F1" w:rsidRDefault="007E59F1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CA7F52">
      <w:pPr>
        <w:spacing w:after="0" w:line="240" w:lineRule="auto"/>
        <w:rPr>
          <w:rFonts w:eastAsia="Times New Roman"/>
          <w:color w:val="000000"/>
        </w:rPr>
      </w:pPr>
    </w:p>
    <w:p w:rsidR="00CA7F52" w:rsidRDefault="00CA7F52" w:rsidP="00CA7F52">
      <w:pPr>
        <w:spacing w:after="0" w:line="240" w:lineRule="auto"/>
        <w:rPr>
          <w:rFonts w:eastAsia="Times New Roman"/>
          <w:color w:val="000000"/>
        </w:rPr>
      </w:pPr>
    </w:p>
    <w:sectPr w:rsidR="00C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B2C68"/>
    <w:rsid w:val="00175EA9"/>
    <w:rsid w:val="001D1253"/>
    <w:rsid w:val="001F74BD"/>
    <w:rsid w:val="002A5CC7"/>
    <w:rsid w:val="003349CC"/>
    <w:rsid w:val="003666B9"/>
    <w:rsid w:val="003F3002"/>
    <w:rsid w:val="00421458"/>
    <w:rsid w:val="00423436"/>
    <w:rsid w:val="004C41B0"/>
    <w:rsid w:val="00527233"/>
    <w:rsid w:val="005D3D7E"/>
    <w:rsid w:val="00643EE8"/>
    <w:rsid w:val="006A13DC"/>
    <w:rsid w:val="00765078"/>
    <w:rsid w:val="007701BF"/>
    <w:rsid w:val="007B2E20"/>
    <w:rsid w:val="007E59F1"/>
    <w:rsid w:val="0082311F"/>
    <w:rsid w:val="00881FA0"/>
    <w:rsid w:val="009C336D"/>
    <w:rsid w:val="009E3891"/>
    <w:rsid w:val="009E3965"/>
    <w:rsid w:val="00A44962"/>
    <w:rsid w:val="00BE3FB1"/>
    <w:rsid w:val="00C5784F"/>
    <w:rsid w:val="00CA4EAE"/>
    <w:rsid w:val="00CA7F52"/>
    <w:rsid w:val="00CE7CA0"/>
    <w:rsid w:val="00D8790B"/>
    <w:rsid w:val="00DA2557"/>
    <w:rsid w:val="00DD622B"/>
    <w:rsid w:val="00F41548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701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20pt1pt">
    <w:name w:val="Основной текст (2) + Arial Narrow;20 pt;Интервал 1 pt"/>
    <w:basedOn w:val="2"/>
    <w:rsid w:val="007701BF"/>
    <w:rPr>
      <w:rFonts w:ascii="Arial Narrow" w:eastAsia="Arial Narrow" w:hAnsi="Arial Narrow" w:cs="Arial Narrow"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ArialNarrow19pt1pt">
    <w:name w:val="Основной текст (2) + Arial Narrow;19 pt;Полужирный;Интервал 1 pt"/>
    <w:basedOn w:val="2"/>
    <w:rsid w:val="007701BF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01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Tahoma17pt1pt">
    <w:name w:val="Основной текст (2) + Tahoma;17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2pt1pt">
    <w:name w:val="Основной текст (2) + Tahoma;12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701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20pt1pt">
    <w:name w:val="Основной текст (2) + Arial Narrow;20 pt;Интервал 1 pt"/>
    <w:basedOn w:val="2"/>
    <w:rsid w:val="007701BF"/>
    <w:rPr>
      <w:rFonts w:ascii="Arial Narrow" w:eastAsia="Arial Narrow" w:hAnsi="Arial Narrow" w:cs="Arial Narrow"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ArialNarrow19pt1pt">
    <w:name w:val="Основной текст (2) + Arial Narrow;19 pt;Полужирный;Интервал 1 pt"/>
    <w:basedOn w:val="2"/>
    <w:rsid w:val="007701BF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01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Tahoma17pt1pt">
    <w:name w:val="Основной текст (2) + Tahoma;17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2pt1pt">
    <w:name w:val="Основной текст (2) + Tahoma;12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9</cp:revision>
  <cp:lastPrinted>2018-08-08T13:17:00Z</cp:lastPrinted>
  <dcterms:created xsi:type="dcterms:W3CDTF">2018-09-04T08:27:00Z</dcterms:created>
  <dcterms:modified xsi:type="dcterms:W3CDTF">2018-09-17T14:04:00Z</dcterms:modified>
</cp:coreProperties>
</file>